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68A18" w14:textId="1E66C32F" w:rsidR="00E03E98" w:rsidRPr="00E03E98" w:rsidRDefault="00E03E98" w:rsidP="00E03E98">
      <w:pPr>
        <w:spacing w:after="0" w:line="360" w:lineRule="auto"/>
        <w:jc w:val="center"/>
        <w:rPr>
          <w:rFonts w:ascii="SimSun" w:eastAsia="SimSun" w:hAnsi="SimSun" w:cs="Helvetica"/>
          <w:b/>
          <w:bCs/>
          <w:kern w:val="0"/>
          <w:lang w:val="en-GB"/>
        </w:rPr>
      </w:pPr>
      <w:r w:rsidRPr="00E03E98">
        <w:rPr>
          <w:rFonts w:ascii="SimSun" w:eastAsia="SimSun" w:hAnsi="SimSun" w:cs="Helvetica"/>
          <w:b/>
          <w:bCs/>
          <w:kern w:val="0"/>
          <w:lang w:val="en-GB"/>
        </w:rPr>
        <w:t>20</w:t>
      </w:r>
      <w:r w:rsidRPr="00E03E98">
        <w:rPr>
          <w:rFonts w:ascii="SimSun" w:eastAsia="SimSun" w:hAnsi="SimSun" w:cs="Helvetica" w:hint="eastAsia"/>
          <w:b/>
          <w:bCs/>
          <w:kern w:val="0"/>
          <w:lang w:val="en-GB"/>
        </w:rPr>
        <w:t>25</w:t>
      </w:r>
      <w:r w:rsidRPr="00E03E98">
        <w:rPr>
          <w:rFonts w:ascii="SimSun" w:eastAsia="SimSun" w:hAnsi="SimSun" w:cs="Helvetica"/>
          <w:b/>
          <w:bCs/>
          <w:kern w:val="0"/>
          <w:lang w:val="en-GB"/>
        </w:rPr>
        <w:t>年</w:t>
      </w:r>
      <w:r w:rsidRPr="00E03E98">
        <w:rPr>
          <w:rFonts w:ascii="SimSun" w:eastAsia="SimSun" w:hAnsi="SimSun" w:cs="Helvetica" w:hint="eastAsia"/>
          <w:b/>
          <w:bCs/>
          <w:kern w:val="0"/>
          <w:lang w:val="en-GB"/>
        </w:rPr>
        <w:t xml:space="preserve"> </w:t>
      </w:r>
      <w:r w:rsidRPr="00E03E98">
        <w:rPr>
          <w:rFonts w:ascii="SimSun" w:eastAsia="SimSun" w:hAnsi="SimSun" w:cs="Helvetica"/>
          <w:b/>
          <w:bCs/>
          <w:kern w:val="0"/>
          <w:lang w:val="en-GB"/>
        </w:rPr>
        <w:t>永约教会同工会</w:t>
      </w:r>
      <w:r w:rsidR="008E75A4">
        <w:rPr>
          <w:rFonts w:ascii="SimSun" w:eastAsia="SimSun" w:hAnsi="SimSun" w:cs="Helvetica" w:hint="eastAsia"/>
          <w:b/>
          <w:bCs/>
          <w:kern w:val="0"/>
          <w:lang w:val="en-GB"/>
        </w:rPr>
        <w:t xml:space="preserve"> （第一部分）</w:t>
      </w:r>
    </w:p>
    <w:p w14:paraId="483C81C0" w14:textId="77777777" w:rsidR="00E03E98" w:rsidRPr="00570165" w:rsidRDefault="00E03E98" w:rsidP="00E03E98">
      <w:pPr>
        <w:tabs>
          <w:tab w:val="left" w:pos="7829"/>
        </w:tabs>
        <w:spacing w:after="0" w:line="360" w:lineRule="auto"/>
        <w:rPr>
          <w:rFonts w:ascii="SimSun" w:eastAsia="SimSun" w:hAnsi="SimSun"/>
          <w:lang w:val="en-GB"/>
        </w:rPr>
      </w:pPr>
      <w:r w:rsidRPr="00570165">
        <w:rPr>
          <w:rFonts w:ascii="SimSun" w:eastAsia="SimSun" w:hAnsi="SimSun" w:hint="eastAsia"/>
          <w:lang w:val="en-GB"/>
        </w:rPr>
        <w:t>《灵火继焚烧》</w:t>
      </w:r>
    </w:p>
    <w:p w14:paraId="5CA7FB97" w14:textId="0EE1F271" w:rsidR="00E03E98" w:rsidRDefault="00E03E98" w:rsidP="00E03E98">
      <w:pPr>
        <w:tabs>
          <w:tab w:val="left" w:pos="7829"/>
        </w:tabs>
        <w:spacing w:after="0" w:line="360" w:lineRule="auto"/>
        <w:rPr>
          <w:rFonts w:ascii="SimSun" w:eastAsia="SimSun" w:hAnsi="SimSun"/>
          <w:lang w:val="en-GB"/>
        </w:rPr>
      </w:pPr>
      <w:r w:rsidRPr="00570165">
        <w:rPr>
          <w:rFonts w:ascii="SimSun" w:eastAsia="SimSun" w:hAnsi="SimSun" w:hint="eastAsia"/>
          <w:lang w:val="en-GB"/>
        </w:rPr>
        <w:t>亚4:6他对我说：「这是耶和华指示所罗巴伯的。万军之耶和华说：不是倚靠势力，不是倚靠才能，乃是倚靠我的灵方能成事。</w:t>
      </w:r>
    </w:p>
    <w:p w14:paraId="43E6BE48" w14:textId="77777777" w:rsidR="00661DF9" w:rsidRDefault="00661DF9" w:rsidP="00E03E98">
      <w:pPr>
        <w:tabs>
          <w:tab w:val="left" w:pos="7829"/>
        </w:tabs>
        <w:spacing w:after="0" w:line="360" w:lineRule="auto"/>
        <w:rPr>
          <w:rFonts w:ascii="SimSun" w:eastAsia="SimSun" w:hAnsi="SimSun"/>
          <w:lang w:val="en-GB"/>
        </w:rPr>
      </w:pPr>
    </w:p>
    <w:p w14:paraId="43D30EDA" w14:textId="77777777" w:rsidR="00661DF9" w:rsidRDefault="00661DF9" w:rsidP="00661DF9">
      <w:pPr>
        <w:tabs>
          <w:tab w:val="left" w:pos="7829"/>
        </w:tabs>
        <w:spacing w:line="360" w:lineRule="auto"/>
        <w:rPr>
          <w:rFonts w:ascii="SimSun" w:eastAsia="SimSun" w:hAnsi="SimSun"/>
          <w:lang w:val="en-GB"/>
        </w:rPr>
      </w:pPr>
    </w:p>
    <w:p w14:paraId="12ED8D1A" w14:textId="77777777" w:rsidR="00661DF9" w:rsidRPr="00F549BE" w:rsidRDefault="00661DF9" w:rsidP="00661DF9">
      <w:pPr>
        <w:tabs>
          <w:tab w:val="left" w:pos="7829"/>
        </w:tabs>
        <w:spacing w:line="360" w:lineRule="auto"/>
        <w:rPr>
          <w:rFonts w:ascii="SimSun" w:eastAsia="SimSun" w:hAnsi="SimSun"/>
          <w:b/>
          <w:bCs/>
          <w:lang w:val="en-GB"/>
        </w:rPr>
      </w:pPr>
      <w:r>
        <w:rPr>
          <w:rFonts w:ascii="SimSun" w:eastAsia="SimSun" w:hAnsi="SimSun" w:hint="eastAsia"/>
          <w:b/>
          <w:bCs/>
          <w:lang w:val="en-GB"/>
        </w:rPr>
        <w:t>福音</w:t>
      </w:r>
      <w:r w:rsidRPr="00F549BE">
        <w:rPr>
          <w:rFonts w:ascii="SimSun" w:eastAsia="SimSun" w:hAnsi="SimSun" w:hint="eastAsia"/>
          <w:b/>
          <w:bCs/>
          <w:lang w:val="en-GB"/>
        </w:rPr>
        <w:t>的核心</w:t>
      </w:r>
    </w:p>
    <w:p w14:paraId="3E4AD1FF" w14:textId="77777777" w:rsidR="00661DF9" w:rsidRPr="00F549BE" w:rsidRDefault="00661DF9" w:rsidP="00661DF9">
      <w:pPr>
        <w:tabs>
          <w:tab w:val="left" w:pos="7829"/>
        </w:tabs>
        <w:spacing w:line="360" w:lineRule="auto"/>
        <w:rPr>
          <w:rFonts w:ascii="SimSun" w:eastAsia="SimSun" w:hAnsi="SimSun"/>
          <w:lang w:val="en-GB"/>
        </w:rPr>
      </w:pPr>
      <w:r w:rsidRPr="00F549BE">
        <w:rPr>
          <w:rFonts w:ascii="SimSun" w:eastAsia="SimSun" w:hAnsi="SimSun" w:hint="eastAsia"/>
          <w:lang w:val="en-GB"/>
        </w:rPr>
        <w:t>以下四项神学真理是所有基督徒必须接受的基本信仰（不可妥协）。</w:t>
      </w:r>
    </w:p>
    <w:p w14:paraId="5766FC47" w14:textId="77777777" w:rsidR="00661DF9" w:rsidRDefault="00661DF9" w:rsidP="00661DF9">
      <w:pPr>
        <w:tabs>
          <w:tab w:val="left" w:pos="7829"/>
        </w:tabs>
        <w:spacing w:line="360" w:lineRule="auto"/>
        <w:rPr>
          <w:rFonts w:ascii="SimSun" w:eastAsia="SimSun" w:hAnsi="SimSun"/>
          <w:lang w:val="en-GB"/>
        </w:rPr>
      </w:pPr>
      <w:r w:rsidRPr="00F549BE">
        <w:rPr>
          <w:rFonts w:ascii="SimSun" w:eastAsia="SimSun" w:hAnsi="SimSun" w:hint="eastAsia"/>
          <w:lang w:val="en-GB"/>
        </w:rPr>
        <w:t>凡不接受以下圣经教导的人，将被视为异端（约二 1:9–11），不得被教会接纳或包容，并会被逐出教会。</w:t>
      </w:r>
    </w:p>
    <w:p w14:paraId="24E90510" w14:textId="35CCE5AE" w:rsidR="00661DF9" w:rsidRPr="007D4539" w:rsidRDefault="00661DF9" w:rsidP="00661DF9">
      <w:pPr>
        <w:tabs>
          <w:tab w:val="left" w:pos="7829"/>
        </w:tabs>
        <w:spacing w:line="360" w:lineRule="auto"/>
        <w:rPr>
          <w:rFonts w:ascii="SimSun" w:eastAsia="SimSun" w:hAnsi="SimSun"/>
          <w:lang w:val="en-US"/>
        </w:rPr>
      </w:pPr>
      <w:r w:rsidRPr="00A33D72">
        <w:rPr>
          <w:rStyle w:val="Strong"/>
          <w:rFonts w:ascii="SimSun" w:eastAsia="SimSun" w:hAnsi="SimSun"/>
        </w:rPr>
        <w:t xml:space="preserve">圣经是神的话（The </w:t>
      </w:r>
      <w:r w:rsidRPr="00A33D72">
        <w:rPr>
          <w:rStyle w:val="Strong"/>
          <w:rFonts w:ascii="SimSun" w:eastAsia="SimSun" w:hAnsi="SimSun" w:hint="eastAsia"/>
        </w:rPr>
        <w:t>Bibl</w:t>
      </w:r>
      <w:r w:rsidRPr="00A33D72">
        <w:rPr>
          <w:rStyle w:val="Strong"/>
          <w:rFonts w:ascii="SimSun" w:eastAsia="SimSun" w:hAnsi="SimSun"/>
          <w:lang w:val="en-US"/>
        </w:rPr>
        <w:t>e is the</w:t>
      </w:r>
      <w:r w:rsidRPr="00A33D72">
        <w:rPr>
          <w:rStyle w:val="Strong"/>
          <w:rFonts w:ascii="SimSun" w:eastAsia="SimSun" w:hAnsi="SimSun"/>
        </w:rPr>
        <w:t xml:space="preserve"> Word of God）</w:t>
      </w:r>
      <w:r w:rsidRPr="00A33D72">
        <w:rPr>
          <w:rFonts w:ascii="SimSun" w:eastAsia="SimSun" w:hAnsi="SimSun"/>
        </w:rPr>
        <w:br/>
        <w:t>圣经是神所默示的，是信仰与生活最高、无误的权威（提后3:16–17；彼后1:20–21）</w:t>
      </w:r>
      <w:r w:rsidRPr="00A33D72">
        <w:rPr>
          <w:rFonts w:ascii="SimSun" w:eastAsia="SimSun" w:hAnsi="SimSun" w:cs="SimSun" w:hint="eastAsia"/>
        </w:rPr>
        <w:t>。</w:t>
      </w:r>
      <w:r w:rsidR="007D4539">
        <w:rPr>
          <w:rFonts w:ascii="SimSun" w:eastAsia="SimSun" w:hAnsi="SimSun" w:cs="SimSun"/>
          <w:lang w:val="en-US"/>
        </w:rPr>
        <w:t>|</w:t>
      </w:r>
      <w:r w:rsidR="007D4539">
        <w:rPr>
          <w:rFonts w:ascii="SimSun" w:eastAsia="SimSun" w:hAnsi="SimSun" w:cs="SimSun"/>
          <w:lang w:val="en-US"/>
        </w:rPr>
        <w:br/>
      </w:r>
    </w:p>
    <w:p w14:paraId="1A74056A" w14:textId="77777777" w:rsidR="00661DF9" w:rsidRPr="00F549BE" w:rsidRDefault="00661DF9" w:rsidP="00661DF9">
      <w:pPr>
        <w:tabs>
          <w:tab w:val="left" w:pos="7829"/>
        </w:tabs>
        <w:spacing w:line="360" w:lineRule="auto"/>
        <w:rPr>
          <w:rFonts w:ascii="SimSun" w:eastAsia="SimSun" w:hAnsi="SimSun"/>
          <w:lang w:val="en-GB"/>
        </w:rPr>
      </w:pPr>
      <w:r w:rsidRPr="00F549BE">
        <w:rPr>
          <w:rFonts w:ascii="SimSun" w:eastAsia="SimSun" w:hAnsi="SimSun" w:hint="eastAsia"/>
          <w:b/>
          <w:bCs/>
          <w:lang w:val="en-GB"/>
        </w:rPr>
        <w:t>三一真神（The Trinity）</w:t>
      </w:r>
      <w:r w:rsidRPr="00F549BE">
        <w:rPr>
          <w:rFonts w:ascii="SimSun" w:eastAsia="SimSun" w:hAnsi="SimSun" w:hint="eastAsia"/>
          <w:lang w:val="en-GB"/>
        </w:rPr>
        <w:t>神是三位一体的独一真神——圣父、圣子、圣灵（太28:19；林后13:14；约1:1；徒5:3–4）。</w:t>
      </w:r>
    </w:p>
    <w:p w14:paraId="70007BBC" w14:textId="10941A28" w:rsidR="00661DF9" w:rsidRPr="00F549BE" w:rsidRDefault="007D4539" w:rsidP="00661DF9">
      <w:pPr>
        <w:tabs>
          <w:tab w:val="left" w:pos="7829"/>
        </w:tabs>
        <w:spacing w:line="360" w:lineRule="auto"/>
        <w:rPr>
          <w:rFonts w:ascii="SimSun" w:eastAsia="SimSun" w:hAnsi="SimSun"/>
          <w:lang w:val="en-GB"/>
        </w:rPr>
      </w:pPr>
      <w:r>
        <w:rPr>
          <w:rFonts w:ascii="SimSun" w:eastAsia="SimSun" w:hAnsi="SimSun"/>
          <w:b/>
          <w:bCs/>
          <w:lang w:val="en-GB"/>
        </w:rPr>
        <w:br/>
      </w:r>
      <w:r w:rsidR="00661DF9" w:rsidRPr="00F549BE">
        <w:rPr>
          <w:rFonts w:ascii="SimSun" w:eastAsia="SimSun" w:hAnsi="SimSun" w:hint="eastAsia"/>
          <w:b/>
          <w:bCs/>
          <w:lang w:val="en-GB"/>
        </w:rPr>
        <w:t>基督的神人二性（The Two Natures of Christ）</w:t>
      </w:r>
      <w:r w:rsidR="00661DF9" w:rsidRPr="00F549BE">
        <w:rPr>
          <w:rFonts w:ascii="SimSun" w:eastAsia="SimSun" w:hAnsi="SimSun" w:hint="eastAsia"/>
          <w:lang w:val="en-GB"/>
        </w:rPr>
        <w:t>耶稣基督是完全的神，也是完全的人（约二1:7；约二2:18–24）。</w:t>
      </w:r>
    </w:p>
    <w:p w14:paraId="5D97DF65" w14:textId="1CBC311F" w:rsidR="00661DF9" w:rsidRPr="00F549BE" w:rsidRDefault="007D4539" w:rsidP="00661DF9">
      <w:pPr>
        <w:tabs>
          <w:tab w:val="left" w:pos="7829"/>
        </w:tabs>
        <w:spacing w:line="360" w:lineRule="auto"/>
        <w:rPr>
          <w:rFonts w:ascii="SimSun" w:eastAsia="SimSun" w:hAnsi="SimSun"/>
          <w:lang w:val="en-GB"/>
        </w:rPr>
      </w:pPr>
      <w:r>
        <w:rPr>
          <w:rFonts w:ascii="SimSun" w:eastAsia="SimSun" w:hAnsi="SimSun"/>
          <w:b/>
          <w:bCs/>
          <w:lang w:val="en-GB"/>
        </w:rPr>
        <w:br/>
      </w:r>
      <w:r w:rsidR="00661DF9" w:rsidRPr="00F549BE">
        <w:rPr>
          <w:rFonts w:ascii="SimSun" w:eastAsia="SimSun" w:hAnsi="SimSun" w:hint="eastAsia"/>
          <w:b/>
          <w:bCs/>
          <w:lang w:val="en-GB"/>
        </w:rPr>
        <w:t>拒绝</w:t>
      </w:r>
      <w:r w:rsidR="00661DF9">
        <w:rPr>
          <w:rFonts w:ascii="SimSun" w:eastAsia="SimSun" w:hAnsi="SimSun" w:hint="eastAsia"/>
          <w:b/>
          <w:bCs/>
          <w:lang w:val="en-GB"/>
        </w:rPr>
        <w:t>假</w:t>
      </w:r>
      <w:r w:rsidR="00661DF9" w:rsidRPr="00F549BE">
        <w:rPr>
          <w:rFonts w:ascii="SimSun" w:eastAsia="SimSun" w:hAnsi="SimSun" w:hint="eastAsia"/>
          <w:b/>
          <w:bCs/>
          <w:lang w:val="en-GB"/>
        </w:rPr>
        <w:t>基督（Rejecting False Christs）</w:t>
      </w:r>
      <w:r w:rsidR="00661DF9" w:rsidRPr="00F549BE">
        <w:rPr>
          <w:rFonts w:ascii="SimSun" w:eastAsia="SimSun" w:hAnsi="SimSun" w:hint="eastAsia"/>
          <w:lang w:val="en-GB"/>
        </w:rPr>
        <w:t>一切传讲与圣经所启示不同之“耶稣基督”的宗派或教导，均为异端，例如：耶和华见证人、摩门教</w:t>
      </w:r>
      <w:r w:rsidR="00661DF9" w:rsidRPr="00570165">
        <w:rPr>
          <w:rStyle w:val="FootnoteReference"/>
          <w:rFonts w:ascii="SimSun" w:eastAsia="SimSun" w:hAnsi="SimSun"/>
          <w:lang w:val="en-GB"/>
        </w:rPr>
        <w:footnoteReference w:id="1"/>
      </w:r>
      <w:r w:rsidR="00661DF9" w:rsidRPr="00F549BE">
        <w:rPr>
          <w:rFonts w:ascii="SimSun" w:eastAsia="SimSun" w:hAnsi="SimSun" w:hint="eastAsia"/>
          <w:lang w:val="en-GB"/>
        </w:rPr>
        <w:t>、东方闪电（全能神）与新天地等。</w:t>
      </w:r>
    </w:p>
    <w:p w14:paraId="26620886" w14:textId="7AB53BC3" w:rsidR="00661DF9" w:rsidRDefault="007D4539" w:rsidP="00661DF9">
      <w:pPr>
        <w:tabs>
          <w:tab w:val="left" w:pos="7829"/>
        </w:tabs>
        <w:spacing w:line="360" w:lineRule="auto"/>
        <w:rPr>
          <w:rFonts w:ascii="SimSun" w:eastAsia="SimSun" w:hAnsi="SimSun"/>
          <w:lang w:val="en-GB"/>
        </w:rPr>
      </w:pPr>
      <w:r>
        <w:rPr>
          <w:rFonts w:ascii="SimSun" w:eastAsia="SimSun" w:hAnsi="SimSun"/>
          <w:b/>
          <w:bCs/>
          <w:lang w:val="en-GB"/>
        </w:rPr>
        <w:br/>
      </w:r>
      <w:r w:rsidR="00661DF9" w:rsidRPr="00F549BE">
        <w:rPr>
          <w:rFonts w:ascii="SimSun" w:eastAsia="SimSun" w:hAnsi="SimSun" w:hint="eastAsia"/>
          <w:b/>
          <w:bCs/>
          <w:lang w:val="en-GB"/>
        </w:rPr>
        <w:t>唯独因信称义（Justification by Faith Alone）</w:t>
      </w:r>
      <w:r w:rsidR="00661DF9" w:rsidRPr="00F549BE">
        <w:rPr>
          <w:rFonts w:ascii="SimSun" w:eastAsia="SimSun" w:hAnsi="SimSun" w:hint="eastAsia"/>
          <w:lang w:val="en-GB"/>
        </w:rPr>
        <w:t>人在神面前得称为义，唯独本乎信，不在乎行为（加1:6–8；加2:4）。</w:t>
      </w:r>
    </w:p>
    <w:p w14:paraId="19EDC690" w14:textId="77777777" w:rsidR="00661DF9" w:rsidRDefault="00661DF9" w:rsidP="00661DF9">
      <w:pPr>
        <w:tabs>
          <w:tab w:val="left" w:pos="7829"/>
        </w:tabs>
        <w:spacing w:line="360" w:lineRule="auto"/>
        <w:rPr>
          <w:rFonts w:ascii="SimSun" w:eastAsia="SimSun" w:hAnsi="SimSun"/>
          <w:lang w:val="en-GB"/>
        </w:rPr>
      </w:pPr>
    </w:p>
    <w:p w14:paraId="08EF7563" w14:textId="336BBF0D" w:rsidR="00323EBC" w:rsidRDefault="00323EBC" w:rsidP="00E03E98">
      <w:pPr>
        <w:tabs>
          <w:tab w:val="left" w:pos="7829"/>
        </w:tabs>
        <w:spacing w:after="0" w:line="360" w:lineRule="auto"/>
        <w:rPr>
          <w:rFonts w:ascii="SimSun" w:eastAsia="SimSun" w:hAnsi="SimSun"/>
          <w:b/>
          <w:bCs/>
          <w:lang w:val="en-GB"/>
        </w:rPr>
      </w:pPr>
      <w:r w:rsidRPr="00C7614F">
        <w:rPr>
          <w:rFonts w:ascii="SimSun" w:eastAsia="SimSun" w:hAnsi="SimSun" w:hint="eastAsia"/>
          <w:b/>
          <w:bCs/>
          <w:lang w:val="en-GB"/>
        </w:rPr>
        <w:lastRenderedPageBreak/>
        <w:t>永约教会的神学立场</w:t>
      </w:r>
    </w:p>
    <w:p w14:paraId="65771D78" w14:textId="77777777" w:rsidR="00323EBC" w:rsidRPr="00C7614F" w:rsidRDefault="00323EBC" w:rsidP="00E03E98">
      <w:pPr>
        <w:tabs>
          <w:tab w:val="left" w:pos="7829"/>
        </w:tabs>
        <w:spacing w:after="0" w:line="360" w:lineRule="auto"/>
        <w:rPr>
          <w:rFonts w:ascii="SimSun" w:eastAsia="SimSun" w:hAnsi="SimSun"/>
          <w:b/>
          <w:bCs/>
          <w:lang w:val="en-US"/>
        </w:rPr>
      </w:pPr>
    </w:p>
    <w:p w14:paraId="25B281E0" w14:textId="77777777" w:rsidR="00323EBC" w:rsidRDefault="00323EBC" w:rsidP="00E03E98">
      <w:pPr>
        <w:tabs>
          <w:tab w:val="left" w:pos="7829"/>
        </w:tabs>
        <w:spacing w:after="0" w:line="360" w:lineRule="auto"/>
        <w:rPr>
          <w:rFonts w:ascii="SimSun" w:eastAsia="SimSun" w:hAnsi="SimSun"/>
          <w:lang w:val="en-GB"/>
        </w:rPr>
      </w:pPr>
      <w:r w:rsidRPr="00C7614F">
        <w:rPr>
          <w:rFonts w:ascii="SimSun" w:eastAsia="SimSun" w:hAnsi="SimSun" w:hint="eastAsia"/>
          <w:lang w:val="en-GB"/>
        </w:rPr>
        <w:t>以下是永约教会的神学立场。</w:t>
      </w:r>
      <w:r w:rsidRPr="004A6540">
        <w:rPr>
          <w:rFonts w:ascii="SimSun" w:eastAsia="SimSun" w:hAnsi="SimSun" w:hint="eastAsia"/>
          <w:b/>
          <w:bCs/>
          <w:u w:val="single"/>
          <w:lang w:val="en-GB"/>
        </w:rPr>
        <w:t>不接受这些立场的基督徒应被包容</w:t>
      </w:r>
      <w:r w:rsidRPr="00C7614F">
        <w:rPr>
          <w:rFonts w:ascii="SimSun" w:eastAsia="SimSun" w:hAnsi="SimSun" w:hint="eastAsia"/>
          <w:lang w:val="en-GB"/>
        </w:rPr>
        <w:t>，但凡被按立为永约教会的牧师或长老，必须接纳并认同此立场。</w:t>
      </w:r>
    </w:p>
    <w:p w14:paraId="4C2D3CD3" w14:textId="77777777" w:rsidR="00323EBC" w:rsidRPr="00C7614F" w:rsidRDefault="00323EBC" w:rsidP="00E03E98">
      <w:pPr>
        <w:tabs>
          <w:tab w:val="left" w:pos="7829"/>
        </w:tabs>
        <w:spacing w:after="0" w:line="360" w:lineRule="auto"/>
        <w:rPr>
          <w:rFonts w:ascii="SimSun" w:eastAsia="SimSun" w:hAnsi="SimSun"/>
          <w:lang w:val="en-GB"/>
        </w:rPr>
      </w:pPr>
    </w:p>
    <w:p w14:paraId="7E834B4E" w14:textId="03118895" w:rsidR="00323EBC" w:rsidRDefault="00323EBC" w:rsidP="00E03E98">
      <w:pPr>
        <w:tabs>
          <w:tab w:val="left" w:pos="7829"/>
        </w:tabs>
        <w:spacing w:after="0" w:line="360" w:lineRule="auto"/>
        <w:rPr>
          <w:rFonts w:ascii="SimSun" w:eastAsia="SimSun" w:hAnsi="SimSun"/>
          <w:lang w:val="en-GB"/>
        </w:rPr>
      </w:pPr>
      <w:r w:rsidRPr="00C7614F">
        <w:rPr>
          <w:rFonts w:ascii="SimSun" w:eastAsia="SimSun" w:hAnsi="SimSun" w:hint="eastAsia"/>
          <w:lang w:val="en-GB"/>
        </w:rPr>
        <w:t>本教会接受《威斯敏斯特信仰告白》</w:t>
      </w:r>
      <w:r w:rsidR="00E03E98" w:rsidRPr="00E03E98">
        <w:rPr>
          <w:rFonts w:ascii="SimSun" w:eastAsia="SimSun" w:hAnsi="SimSun"/>
          <w:lang w:val="en-GB"/>
        </w:rPr>
        <w:t>The Westminster Confession of Faith</w:t>
      </w:r>
      <w:r w:rsidRPr="00C7614F">
        <w:rPr>
          <w:rFonts w:ascii="SimSun" w:eastAsia="SimSun" w:hAnsi="SimSun" w:hint="eastAsia"/>
          <w:lang w:val="en-GB"/>
        </w:rPr>
        <w:t>中所总结的教义体系（system of doctrines）。“教义体系”并不意味着逐字逐句地接受整部告白，而是接纳告白中与圣经一致的神学原则与框架。</w:t>
      </w:r>
    </w:p>
    <w:p w14:paraId="3483BA25" w14:textId="77777777" w:rsidR="00E03E98" w:rsidRPr="00C7614F" w:rsidRDefault="00E03E98" w:rsidP="00E03E98">
      <w:pPr>
        <w:tabs>
          <w:tab w:val="left" w:pos="7829"/>
        </w:tabs>
        <w:spacing w:after="0" w:line="360" w:lineRule="auto"/>
        <w:rPr>
          <w:rFonts w:ascii="SimSun" w:eastAsia="SimSun" w:hAnsi="SimSun"/>
          <w:lang w:val="en-GB"/>
        </w:rPr>
      </w:pPr>
    </w:p>
    <w:p w14:paraId="0DECFBAE" w14:textId="77777777" w:rsidR="00323EBC" w:rsidRDefault="00323EBC" w:rsidP="00E03E98">
      <w:pPr>
        <w:tabs>
          <w:tab w:val="left" w:pos="7829"/>
        </w:tabs>
        <w:spacing w:after="0" w:line="360" w:lineRule="auto"/>
        <w:rPr>
          <w:rFonts w:ascii="SimSun" w:eastAsia="SimSun" w:hAnsi="SimSun"/>
          <w:lang w:val="en-GB"/>
        </w:rPr>
      </w:pPr>
      <w:r w:rsidRPr="00C7614F">
        <w:rPr>
          <w:rFonts w:ascii="SimSun" w:eastAsia="SimSun" w:hAnsi="SimSun" w:hint="eastAsia"/>
          <w:lang w:val="en-GB"/>
        </w:rPr>
        <w:t>《威斯敏斯特信仰告白》所阐述的救恩教义，</w:t>
      </w:r>
      <w:r w:rsidRPr="00E03E98">
        <w:rPr>
          <w:rFonts w:ascii="SimSun" w:eastAsia="SimSun" w:hAnsi="SimSun" w:hint="eastAsia"/>
          <w:b/>
          <w:bCs/>
          <w:u w:val="single"/>
          <w:lang w:val="en-GB"/>
        </w:rPr>
        <w:t>也即加尔文主义的五大要点（TULIP）</w:t>
      </w:r>
      <w:r w:rsidRPr="00C7614F">
        <w:rPr>
          <w:rFonts w:ascii="SimSun" w:eastAsia="SimSun" w:hAnsi="SimSun" w:hint="eastAsia"/>
          <w:lang w:val="en-GB"/>
        </w:rPr>
        <w:t>，包括全然败坏（Total Depravity）、无条件拣选（Unconditional Election）、有限救赎（Limited Atonement）、不可抗拒的恩典（Irresistible Grace）以及圣徒坚忍（Perseverance of the Saints），均被视为改革宗信仰的基本教义，必须被接受与坚守。</w:t>
      </w:r>
    </w:p>
    <w:p w14:paraId="577FFDED" w14:textId="77777777" w:rsidR="00323EBC" w:rsidRDefault="00323EBC" w:rsidP="00E03E98">
      <w:pPr>
        <w:tabs>
          <w:tab w:val="left" w:pos="7829"/>
        </w:tabs>
        <w:spacing w:after="0" w:line="360" w:lineRule="auto"/>
        <w:rPr>
          <w:rFonts w:ascii="SimSun" w:eastAsia="SimSun" w:hAnsi="SimSun"/>
          <w:lang w:val="en-GB"/>
        </w:rPr>
      </w:pPr>
    </w:p>
    <w:p w14:paraId="643D6462" w14:textId="5B6649BD" w:rsidR="00323EBC" w:rsidRPr="00D82970" w:rsidRDefault="00323EBC" w:rsidP="00E03E98">
      <w:pPr>
        <w:tabs>
          <w:tab w:val="left" w:pos="7829"/>
        </w:tabs>
        <w:spacing w:after="0" w:line="360" w:lineRule="auto"/>
        <w:rPr>
          <w:rFonts w:ascii="SimSun" w:eastAsia="SimSun" w:hAnsi="SimSun"/>
          <w:b/>
          <w:bCs/>
          <w:lang w:val="en-GB"/>
        </w:rPr>
      </w:pPr>
      <w:r w:rsidRPr="00D82970">
        <w:rPr>
          <w:rFonts w:ascii="SimSun" w:eastAsia="SimSun" w:hAnsi="SimSun" w:hint="eastAsia"/>
          <w:b/>
          <w:bCs/>
          <w:lang w:val="en-GB"/>
        </w:rPr>
        <w:t>永约教会接受《威斯敏斯特信仰告白》</w:t>
      </w:r>
      <w:r w:rsidR="00E03E98">
        <w:rPr>
          <w:rFonts w:ascii="SimSun" w:eastAsia="SimSun" w:hAnsi="SimSun"/>
          <w:b/>
          <w:bCs/>
          <w:lang w:val="en-GB"/>
        </w:rPr>
        <w:t>WCF</w:t>
      </w:r>
      <w:r w:rsidRPr="00D82970">
        <w:rPr>
          <w:rFonts w:ascii="SimSun" w:eastAsia="SimSun" w:hAnsi="SimSun" w:hint="eastAsia"/>
          <w:b/>
          <w:bCs/>
          <w:lang w:val="en-GB"/>
        </w:rPr>
        <w:t>中所总结的“教义体系”（system of doctrines）。</w:t>
      </w:r>
    </w:p>
    <w:p w14:paraId="2240E409" w14:textId="15C2AF50" w:rsidR="00323EBC" w:rsidRPr="000B7F52" w:rsidRDefault="007D4539" w:rsidP="00E03E98">
      <w:pPr>
        <w:tabs>
          <w:tab w:val="left" w:pos="7829"/>
        </w:tabs>
        <w:spacing w:after="0" w:line="360" w:lineRule="auto"/>
        <w:rPr>
          <w:rFonts w:ascii="SimSun" w:eastAsia="SimSun" w:hAnsi="SimSun"/>
          <w:lang w:val="en-GB"/>
        </w:rPr>
      </w:pPr>
      <w:r>
        <w:rPr>
          <w:rFonts w:ascii="SimSun" w:eastAsia="SimSun" w:hAnsi="SimSun"/>
          <w:lang w:val="en-GB"/>
        </w:rPr>
        <w:br/>
      </w:r>
      <w:r w:rsidR="00323EBC" w:rsidRPr="000B7F52">
        <w:rPr>
          <w:rFonts w:ascii="SimSun" w:eastAsia="SimSun" w:hAnsi="SimSun" w:hint="eastAsia"/>
          <w:lang w:val="en-GB"/>
        </w:rPr>
        <w:t>此“教义体系”指的是整份告白中与圣经一致的神学原则与核心教义，而非逐字逐句的文字认信。</w:t>
      </w:r>
    </w:p>
    <w:p w14:paraId="2E78FE58" w14:textId="6C2B4BF3" w:rsidR="00323EBC" w:rsidRPr="000B7F52" w:rsidRDefault="00323EBC" w:rsidP="00E03E98">
      <w:pPr>
        <w:tabs>
          <w:tab w:val="left" w:pos="7829"/>
        </w:tabs>
        <w:spacing w:after="0" w:line="360" w:lineRule="auto"/>
        <w:rPr>
          <w:rFonts w:ascii="SimSun" w:eastAsia="SimSun" w:hAnsi="SimSun"/>
          <w:lang w:val="en-GB"/>
        </w:rPr>
      </w:pPr>
      <w:r w:rsidRPr="000B7F52">
        <w:rPr>
          <w:rFonts w:ascii="SimSun" w:eastAsia="SimSun" w:hAnsi="SimSun" w:hint="eastAsia"/>
          <w:lang w:val="en-GB"/>
        </w:rPr>
        <w:t>在具体立场上，永约教会持守如下：</w:t>
      </w:r>
      <w:r w:rsidR="00845E0A">
        <w:rPr>
          <w:rFonts w:ascii="SimSun" w:eastAsia="SimSun" w:hAnsi="SimSun"/>
          <w:lang w:val="en-GB"/>
        </w:rPr>
        <w:br/>
      </w:r>
    </w:p>
    <w:p w14:paraId="1129F5C4" w14:textId="456AA534" w:rsidR="00E03E98" w:rsidRPr="00E03E98" w:rsidRDefault="00323EBC" w:rsidP="00E03E98">
      <w:pPr>
        <w:pStyle w:val="ListParagraph"/>
        <w:numPr>
          <w:ilvl w:val="0"/>
          <w:numId w:val="1"/>
        </w:numPr>
        <w:tabs>
          <w:tab w:val="left" w:pos="7829"/>
        </w:tabs>
        <w:spacing w:after="0" w:line="360" w:lineRule="auto"/>
        <w:rPr>
          <w:rFonts w:ascii="SimSun" w:eastAsia="SimSun" w:hAnsi="SimSun"/>
          <w:lang w:val="en-GB"/>
        </w:rPr>
      </w:pPr>
      <w:r w:rsidRPr="00E03E98">
        <w:rPr>
          <w:rFonts w:ascii="SimSun" w:eastAsia="SimSun" w:hAnsi="SimSun" w:hint="eastAsia"/>
          <w:b/>
          <w:bCs/>
          <w:lang w:val="en-GB"/>
        </w:rPr>
        <w:t>关于敌基督（Antichrist）：</w:t>
      </w:r>
      <w:r w:rsidRPr="00E03E98">
        <w:rPr>
          <w:rFonts w:ascii="SimSun" w:eastAsia="SimSun" w:hAnsi="SimSun" w:hint="eastAsia"/>
          <w:lang w:val="en-GB"/>
        </w:rPr>
        <w:t>接受并相信有“敌基督”的存在，但不认为</w:t>
      </w:r>
      <w:r w:rsidR="00055BE3">
        <w:rPr>
          <w:rFonts w:ascii="SimSun" w:eastAsia="SimSun" w:hAnsi="SimSun" w:hint="eastAsia"/>
          <w:lang w:val="en-GB"/>
        </w:rPr>
        <w:t>将来要来的</w:t>
      </w:r>
      <w:r w:rsidR="00883902">
        <w:rPr>
          <w:rFonts w:ascii="SimSun" w:eastAsia="SimSun" w:hAnsi="SimSun" w:hint="eastAsia"/>
          <w:lang w:val="en-GB"/>
        </w:rPr>
        <w:t>那一位终极的</w:t>
      </w:r>
      <w:r w:rsidRPr="00E03E98">
        <w:rPr>
          <w:rFonts w:ascii="SimSun" w:eastAsia="SimSun" w:hAnsi="SimSun" w:hint="eastAsia"/>
          <w:lang w:val="en-GB"/>
        </w:rPr>
        <w:t>“敌基督”必然等同于“教皇”。</w:t>
      </w:r>
      <w:r w:rsidR="00845E0A">
        <w:rPr>
          <w:rFonts w:ascii="SimSun" w:eastAsia="SimSun" w:hAnsi="SimSun"/>
          <w:lang w:val="en-GB"/>
        </w:rPr>
        <w:br/>
      </w:r>
    </w:p>
    <w:p w14:paraId="48F37068" w14:textId="6733009D" w:rsidR="00883902" w:rsidRPr="00D92EE2" w:rsidRDefault="00D92EE2" w:rsidP="00D92EE2">
      <w:pPr>
        <w:pStyle w:val="ListParagraph"/>
        <w:numPr>
          <w:ilvl w:val="0"/>
          <w:numId w:val="1"/>
        </w:numPr>
        <w:rPr>
          <w:rFonts w:ascii="SimSun" w:eastAsia="SimSun" w:hAnsi="SimSun" w:hint="eastAsia"/>
          <w:lang w:val="en-GB"/>
        </w:rPr>
      </w:pPr>
      <w:r w:rsidRPr="007D4539">
        <w:rPr>
          <w:rFonts w:ascii="SimSun" w:eastAsia="SimSun" w:hAnsi="SimSun" w:hint="eastAsia"/>
          <w:b/>
          <w:bCs/>
          <w:lang w:val="en-GB"/>
        </w:rPr>
        <w:t>我们接受并相信“六天创造”</w:t>
      </w:r>
      <w:r w:rsidR="007D4539" w:rsidRPr="007D4539">
        <w:rPr>
          <w:rFonts w:ascii="SimSun" w:eastAsia="SimSun" w:hAnsi="SimSun" w:hint="eastAsia"/>
          <w:b/>
          <w:bCs/>
          <w:lang w:val="en-GB"/>
        </w:rPr>
        <w:t xml:space="preserve"> </w:t>
      </w:r>
      <w:r w:rsidR="007D4539" w:rsidRPr="00E03E98">
        <w:rPr>
          <w:rFonts w:ascii="SimSun" w:eastAsia="SimSun" w:hAnsi="SimSun" w:hint="eastAsia"/>
          <w:b/>
          <w:bCs/>
          <w:lang w:val="en-GB"/>
        </w:rPr>
        <w:t>：</w:t>
      </w:r>
      <w:r w:rsidRPr="00D92EE2">
        <w:rPr>
          <w:rFonts w:ascii="SimSun" w:eastAsia="SimSun" w:hAnsi="SimSun" w:hint="eastAsia"/>
          <w:lang w:val="en-GB"/>
        </w:rPr>
        <w:t>但不排斥非字面意义的二十四小时解释等正统立场。需要注意的是，上帝是在第四日才创造太阳，而我们今天所说的二十四小时，是以地球自转一周、并以太阳的位置来计算的时间。</w:t>
      </w:r>
    </w:p>
    <w:p w14:paraId="6FE18C64" w14:textId="77777777" w:rsidR="00883902" w:rsidRDefault="00883902" w:rsidP="00883902">
      <w:pPr>
        <w:tabs>
          <w:tab w:val="left" w:pos="7829"/>
        </w:tabs>
        <w:spacing w:after="0" w:line="360" w:lineRule="auto"/>
        <w:rPr>
          <w:rFonts w:ascii="SimSun" w:eastAsia="SimSun" w:hAnsi="SimSun"/>
          <w:lang w:val="en-GB"/>
        </w:rPr>
      </w:pPr>
    </w:p>
    <w:p w14:paraId="764B976C" w14:textId="4CE8C974" w:rsidR="00323EBC" w:rsidRPr="00E03E98" w:rsidRDefault="00323EBC" w:rsidP="00E03E98">
      <w:pPr>
        <w:pStyle w:val="ListParagraph"/>
        <w:numPr>
          <w:ilvl w:val="0"/>
          <w:numId w:val="1"/>
        </w:numPr>
        <w:tabs>
          <w:tab w:val="left" w:pos="7829"/>
        </w:tabs>
        <w:spacing w:after="0" w:line="360" w:lineRule="auto"/>
        <w:rPr>
          <w:rFonts w:ascii="SimSun" w:eastAsia="SimSun" w:hAnsi="SimSun"/>
          <w:b/>
          <w:bCs/>
          <w:lang w:val="en-GB"/>
        </w:rPr>
      </w:pPr>
      <w:r w:rsidRPr="00E03E98">
        <w:rPr>
          <w:rFonts w:ascii="SimSun" w:eastAsia="SimSun" w:hAnsi="SimSun" w:hint="eastAsia"/>
          <w:b/>
          <w:bCs/>
          <w:lang w:val="en-GB"/>
        </w:rPr>
        <w:t>关于主日（Lord’s Day）：</w:t>
      </w:r>
      <w:r w:rsidRPr="00E03E98">
        <w:rPr>
          <w:rFonts w:ascii="SimSun" w:eastAsia="SimSun" w:hAnsi="SimSun" w:hint="eastAsia"/>
          <w:lang w:val="en-GB"/>
        </w:rPr>
        <w:t>接受信徒当守主日，并认为主日延续了旧约安息日的属灵精神；但不认同告白中“主日崇拜之后不可娱乐”（如运动、宴席、游玩等）的严格限制。</w:t>
      </w:r>
      <w:r w:rsidR="00845E0A">
        <w:rPr>
          <w:rFonts w:ascii="SimSun" w:eastAsia="SimSun" w:hAnsi="SimSun"/>
          <w:lang w:val="en-GB"/>
        </w:rPr>
        <w:br/>
      </w:r>
    </w:p>
    <w:p w14:paraId="4CFCF262" w14:textId="198533F2" w:rsidR="00323EBC" w:rsidRPr="00E03E98" w:rsidRDefault="00323EBC" w:rsidP="00E03E98">
      <w:pPr>
        <w:pStyle w:val="ListParagraph"/>
        <w:numPr>
          <w:ilvl w:val="0"/>
          <w:numId w:val="1"/>
        </w:numPr>
        <w:tabs>
          <w:tab w:val="left" w:pos="7829"/>
        </w:tabs>
        <w:spacing w:after="0" w:line="360" w:lineRule="auto"/>
        <w:rPr>
          <w:rFonts w:ascii="SimSun" w:eastAsia="SimSun" w:hAnsi="SimSun"/>
          <w:b/>
          <w:bCs/>
          <w:lang w:val="en-GB"/>
        </w:rPr>
      </w:pPr>
      <w:r w:rsidRPr="00E03E98">
        <w:rPr>
          <w:rFonts w:ascii="SimSun" w:eastAsia="SimSun" w:hAnsi="SimSun" w:hint="eastAsia"/>
          <w:b/>
          <w:bCs/>
          <w:lang w:val="en-GB"/>
        </w:rPr>
        <w:lastRenderedPageBreak/>
        <w:t>关于敬拜与诗歌（Worship and Psalm Singing）：</w:t>
      </w:r>
      <w:r w:rsidRPr="00E03E98">
        <w:rPr>
          <w:rFonts w:ascii="SimSun" w:eastAsia="SimSun" w:hAnsi="SimSun" w:hint="eastAsia"/>
          <w:lang w:val="en-GB"/>
        </w:rPr>
        <w:t>接受并赞同在敬拜中唱《诗篇》，但不认同“唯独唱诗篇”的做法（即《威斯敏斯特敬拜准则》所主张的立场）。</w:t>
      </w:r>
      <w:r w:rsidR="00845E0A">
        <w:rPr>
          <w:rFonts w:ascii="SimSun" w:eastAsia="SimSun" w:hAnsi="SimSun"/>
          <w:lang w:val="en-GB"/>
        </w:rPr>
        <w:br/>
      </w:r>
    </w:p>
    <w:p w14:paraId="1EEB85E0" w14:textId="2626855C" w:rsidR="00323EBC" w:rsidRPr="00E03E98" w:rsidRDefault="00323EBC" w:rsidP="00E03E98">
      <w:pPr>
        <w:pStyle w:val="ListParagraph"/>
        <w:numPr>
          <w:ilvl w:val="0"/>
          <w:numId w:val="1"/>
        </w:numPr>
        <w:tabs>
          <w:tab w:val="left" w:pos="7829"/>
        </w:tabs>
        <w:spacing w:after="0" w:line="360" w:lineRule="auto"/>
        <w:rPr>
          <w:rFonts w:ascii="SimSun" w:eastAsia="SimSun" w:hAnsi="SimSun"/>
          <w:lang w:val="en-GB"/>
        </w:rPr>
      </w:pPr>
      <w:r w:rsidRPr="00E03E98">
        <w:rPr>
          <w:rFonts w:ascii="SimSun" w:eastAsia="SimSun" w:hAnsi="SimSun" w:hint="eastAsia"/>
          <w:b/>
          <w:bCs/>
          <w:lang w:val="en-GB"/>
        </w:rPr>
        <w:t>关于敬拜的规范原则（Regulative Principle of Worship）：</w:t>
      </w:r>
      <w:r w:rsidRPr="00E03E98">
        <w:rPr>
          <w:rFonts w:ascii="SimSun" w:eastAsia="SimSun" w:hAnsi="SimSun" w:hint="eastAsia"/>
          <w:lang w:val="en-GB"/>
        </w:rPr>
        <w:t>永约教会对“敬拜的规范原则”的理解与WCF略有不同。根据WCF的立场，敬拜中只能实行圣经明确命令的事项（only what God commands in Scripture may be done in worship）；而永约教会认为，只要不违背圣经的原则、精神、律法、诫命与规范，并能造就信徒、荣耀神的事物，都可用于敬拜中。例如圣诞节聚会、复活节聚会、各样乐器的使用，以及短剧、视频等用以辅助证道的信息呈现。</w:t>
      </w:r>
      <w:r w:rsidR="00845E0A">
        <w:rPr>
          <w:rFonts w:ascii="SimSun" w:eastAsia="SimSun" w:hAnsi="SimSun"/>
          <w:lang w:val="en-GB"/>
        </w:rPr>
        <w:br/>
      </w:r>
    </w:p>
    <w:p w14:paraId="4C7BA7E8" w14:textId="2ED6E7F9" w:rsidR="00323EBC" w:rsidRPr="00E03E98" w:rsidRDefault="00323EBC" w:rsidP="00E03E98">
      <w:pPr>
        <w:pStyle w:val="ListParagraph"/>
        <w:numPr>
          <w:ilvl w:val="0"/>
          <w:numId w:val="1"/>
        </w:numPr>
        <w:tabs>
          <w:tab w:val="left" w:pos="7829"/>
        </w:tabs>
        <w:spacing w:after="0" w:line="360" w:lineRule="auto"/>
        <w:rPr>
          <w:rFonts w:ascii="SimSun" w:eastAsia="SimSun" w:hAnsi="SimSun"/>
          <w:lang w:val="en-GB"/>
        </w:rPr>
      </w:pPr>
      <w:r w:rsidRPr="00E03E98">
        <w:rPr>
          <w:rFonts w:ascii="SimSun" w:eastAsia="SimSun" w:hAnsi="SimSun" w:hint="eastAsia"/>
          <w:b/>
          <w:bCs/>
          <w:lang w:val="en-GB"/>
        </w:rPr>
        <w:t>关于政府权柄（Civil Magistrate）：</w:t>
      </w:r>
      <w:r w:rsidRPr="00E03E98">
        <w:rPr>
          <w:rFonts w:ascii="SimSun" w:eastAsia="SimSun" w:hAnsi="SimSun" w:hint="eastAsia"/>
          <w:lang w:val="en-GB"/>
        </w:rPr>
        <w:t>接受信徒应顺服政府治理的合法权柄，但不认为政府有权介入教会的属灵与信仰事务，也不认为政府拥有裁决神学异端或规范教会秩序的属灵权柄。</w:t>
      </w:r>
      <w:r w:rsidR="00845E0A">
        <w:rPr>
          <w:rFonts w:ascii="SimSun" w:eastAsia="SimSun" w:hAnsi="SimSun"/>
          <w:lang w:val="en-GB"/>
        </w:rPr>
        <w:br/>
      </w:r>
    </w:p>
    <w:p w14:paraId="3EE55EB3" w14:textId="77777777" w:rsidR="00323EBC" w:rsidRPr="00E03E98" w:rsidRDefault="00323EBC" w:rsidP="00E03E98">
      <w:pPr>
        <w:pStyle w:val="ListParagraph"/>
        <w:numPr>
          <w:ilvl w:val="0"/>
          <w:numId w:val="1"/>
        </w:numPr>
        <w:tabs>
          <w:tab w:val="left" w:pos="7829"/>
        </w:tabs>
        <w:spacing w:after="0" w:line="360" w:lineRule="auto"/>
        <w:rPr>
          <w:rFonts w:ascii="SimSun" w:eastAsia="SimSun" w:hAnsi="SimSun"/>
          <w:lang w:val="en-GB"/>
        </w:rPr>
      </w:pPr>
      <w:r w:rsidRPr="00E03E98">
        <w:rPr>
          <w:rFonts w:ascii="SimSun" w:eastAsia="SimSun" w:hAnsi="SimSun" w:hint="eastAsia"/>
          <w:b/>
          <w:bCs/>
          <w:lang w:val="en-GB"/>
        </w:rPr>
        <w:t>关于教会制度（Church Government）：</w:t>
      </w:r>
      <w:r w:rsidRPr="00E03E98">
        <w:rPr>
          <w:rFonts w:ascii="SimSun" w:eastAsia="SimSun" w:hAnsi="SimSun" w:hint="eastAsia"/>
          <w:lang w:val="en-GB"/>
        </w:rPr>
        <w:t>接受并尊重长老制的教会治理方式，但不认为“长老会辖区制”（presbytery）是唯一且必须的制度形式。</w:t>
      </w:r>
    </w:p>
    <w:p w14:paraId="006ED6B1" w14:textId="77777777" w:rsidR="00323EBC" w:rsidRDefault="00323EBC" w:rsidP="00E03E98">
      <w:pPr>
        <w:tabs>
          <w:tab w:val="left" w:pos="7829"/>
        </w:tabs>
        <w:spacing w:after="0" w:line="360" w:lineRule="auto"/>
        <w:rPr>
          <w:rFonts w:ascii="SimSun" w:eastAsia="SimSun" w:hAnsi="SimSun"/>
          <w:lang w:val="en-GB"/>
        </w:rPr>
      </w:pPr>
    </w:p>
    <w:p w14:paraId="372EF9BA" w14:textId="56D88631" w:rsidR="00323EBC" w:rsidRDefault="00323EBC" w:rsidP="00E03E98">
      <w:pPr>
        <w:tabs>
          <w:tab w:val="left" w:pos="7829"/>
        </w:tabs>
        <w:spacing w:after="0" w:line="360" w:lineRule="auto"/>
        <w:rPr>
          <w:rFonts w:ascii="SimSun" w:eastAsia="SimSun" w:hAnsi="SimSun"/>
          <w:lang w:val="en-GB"/>
        </w:rPr>
      </w:pPr>
      <w:r>
        <w:rPr>
          <w:rFonts w:ascii="SimSun" w:eastAsia="SimSun" w:hAnsi="SimSun" w:hint="eastAsia"/>
          <w:lang w:val="en-GB"/>
        </w:rPr>
        <w:t>阅读</w:t>
      </w:r>
      <w:r w:rsidRPr="00570165">
        <w:rPr>
          <w:rFonts w:ascii="SimSun" w:eastAsia="SimSun" w:hAnsi="SimSun" w:hint="eastAsia"/>
          <w:lang w:val="en-GB"/>
        </w:rPr>
        <w:t>推荐：</w:t>
      </w:r>
      <w:r w:rsidRPr="00570165">
        <w:rPr>
          <w:rFonts w:ascii="SimSun" w:eastAsia="SimSun" w:hAnsi="SimSun"/>
          <w:lang w:val="en-GB"/>
        </w:rPr>
        <w:t xml:space="preserve"> </w:t>
      </w:r>
      <w:r w:rsidR="00576CD6">
        <w:t>史普罗</w:t>
      </w:r>
      <w:r w:rsidRPr="00570165">
        <w:rPr>
          <w:rFonts w:ascii="SimSun" w:eastAsia="SimSun" w:hAnsi="SimSun"/>
          <w:lang w:val="en-GB"/>
        </w:rPr>
        <w:t>R C Sproul "Truths We Confess: A Systematic Exposition of the Westminster Confession of Faith</w:t>
      </w:r>
    </w:p>
    <w:p w14:paraId="202F1B9B" w14:textId="77777777" w:rsidR="00323EBC" w:rsidRDefault="00323EBC" w:rsidP="00E03E98">
      <w:pPr>
        <w:tabs>
          <w:tab w:val="left" w:pos="7829"/>
        </w:tabs>
        <w:spacing w:after="0" w:line="360" w:lineRule="auto"/>
        <w:rPr>
          <w:rFonts w:ascii="SimSun" w:eastAsia="SimSun" w:hAnsi="SimSun"/>
          <w:lang w:val="en-GB"/>
        </w:rPr>
      </w:pPr>
    </w:p>
    <w:p w14:paraId="4A42CFBE" w14:textId="77777777" w:rsidR="00323EBC" w:rsidRDefault="00323EBC" w:rsidP="00E03E98">
      <w:pPr>
        <w:tabs>
          <w:tab w:val="left" w:pos="7829"/>
        </w:tabs>
        <w:spacing w:after="0" w:line="360" w:lineRule="auto"/>
        <w:rPr>
          <w:rFonts w:ascii="SimSun" w:eastAsia="SimSun" w:hAnsi="SimSun"/>
          <w:b/>
          <w:bCs/>
          <w:lang w:val="en-GB"/>
        </w:rPr>
      </w:pPr>
      <w:r w:rsidRPr="004A6540">
        <w:rPr>
          <w:rFonts w:ascii="SimSun" w:eastAsia="SimSun" w:hAnsi="SimSun" w:hint="eastAsia"/>
          <w:b/>
          <w:bCs/>
          <w:lang w:val="en-GB"/>
        </w:rPr>
        <w:t>圣经无误</w:t>
      </w:r>
      <w:r>
        <w:rPr>
          <w:rStyle w:val="FootnoteReference"/>
          <w:rFonts w:ascii="SimSun" w:eastAsia="SimSun" w:hAnsi="SimSun"/>
          <w:b/>
          <w:bCs/>
          <w:lang w:val="en-GB"/>
        </w:rPr>
        <w:footnoteReference w:id="2"/>
      </w:r>
      <w:r>
        <w:rPr>
          <w:rFonts w:ascii="SimSun" w:eastAsia="SimSun" w:hAnsi="SimSun"/>
          <w:b/>
          <w:bCs/>
          <w:lang w:val="en-GB"/>
        </w:rPr>
        <w:t xml:space="preserve"> </w:t>
      </w:r>
      <w:r w:rsidRPr="00AC6E50">
        <w:rPr>
          <w:rFonts w:hint="eastAsia"/>
        </w:rPr>
        <w:t>Inerrant</w:t>
      </w:r>
      <w:r w:rsidRPr="004A6540">
        <w:rPr>
          <w:rFonts w:ascii="SimSun" w:eastAsia="SimSun" w:hAnsi="SimSun" w:hint="eastAsia"/>
          <w:b/>
          <w:bCs/>
          <w:lang w:val="en-GB"/>
        </w:rPr>
        <w:t>无谬</w:t>
      </w:r>
      <w:r w:rsidRPr="00AC6E50">
        <w:rPr>
          <w:rFonts w:ascii="SimSun" w:eastAsia="SimSun" w:hAnsi="SimSun"/>
          <w:b/>
          <w:bCs/>
          <w:lang w:val="en-GB"/>
        </w:rPr>
        <w:t>infallible</w:t>
      </w:r>
    </w:p>
    <w:p w14:paraId="6D1BDB7B" w14:textId="77777777" w:rsidR="00E03E98" w:rsidRPr="004A6540" w:rsidRDefault="00E03E98" w:rsidP="00E03E98">
      <w:pPr>
        <w:tabs>
          <w:tab w:val="left" w:pos="7829"/>
        </w:tabs>
        <w:spacing w:after="0" w:line="360" w:lineRule="auto"/>
        <w:rPr>
          <w:rFonts w:ascii="SimSun" w:eastAsia="SimSun" w:hAnsi="SimSun"/>
          <w:b/>
          <w:bCs/>
          <w:lang w:val="en-GB"/>
        </w:rPr>
      </w:pPr>
    </w:p>
    <w:p w14:paraId="00287BFA" w14:textId="77777777" w:rsidR="00323EBC" w:rsidRDefault="00323EBC" w:rsidP="00E03E98">
      <w:pPr>
        <w:tabs>
          <w:tab w:val="left" w:pos="7829"/>
        </w:tabs>
        <w:spacing w:after="0" w:line="360" w:lineRule="auto"/>
        <w:rPr>
          <w:rFonts w:ascii="SimSun" w:eastAsia="SimSun" w:hAnsi="SimSun"/>
          <w:lang w:val="en-GB"/>
        </w:rPr>
      </w:pPr>
      <w:r w:rsidRPr="00E91C94">
        <w:rPr>
          <w:rFonts w:ascii="SimSun" w:eastAsia="SimSun" w:hAnsi="SimSun" w:hint="eastAsia"/>
          <w:lang w:val="en-GB"/>
        </w:rPr>
        <w:t>凡被按立为永约教会的长老或牧师，必须接受《芝加哥圣经无误宣言》（The Chicago Statement on Biblical Inerrancy）所阐明的信念，即圣经原稿（autographs）在其启示中是完全无误（inerrant）且无谬（infallible）</w:t>
      </w:r>
    </w:p>
    <w:p w14:paraId="3FA708C8" w14:textId="77777777" w:rsidR="00E03E98" w:rsidRDefault="00E03E98" w:rsidP="00E03E98">
      <w:pPr>
        <w:tabs>
          <w:tab w:val="left" w:pos="7829"/>
        </w:tabs>
        <w:spacing w:after="0" w:line="360" w:lineRule="auto"/>
        <w:rPr>
          <w:rFonts w:ascii="SimSun" w:eastAsia="SimSun" w:hAnsi="SimSun"/>
          <w:lang w:val="en-GB"/>
        </w:rPr>
      </w:pPr>
    </w:p>
    <w:p w14:paraId="2C28D208" w14:textId="77777777" w:rsidR="00323EBC" w:rsidRDefault="00323EBC" w:rsidP="00E03E98">
      <w:pPr>
        <w:tabs>
          <w:tab w:val="left" w:pos="7829"/>
        </w:tabs>
        <w:spacing w:after="0" w:line="360" w:lineRule="auto"/>
        <w:rPr>
          <w:rFonts w:ascii="SimSun" w:eastAsia="SimSun" w:hAnsi="SimSun"/>
          <w:lang w:val="en-GB"/>
        </w:rPr>
      </w:pPr>
      <w:r w:rsidRPr="00F0686E">
        <w:rPr>
          <w:rFonts w:ascii="SimSun" w:eastAsia="SimSun" w:hAnsi="SimSun" w:hint="eastAsia"/>
          <w:lang w:val="en-GB"/>
        </w:rPr>
        <w:t>此外，永约教会承认并尊重其他改革宗教会所接纳的“三联合信条”（Three Forms of Unity）——《比利时信条》（1561）、《海德堡要理问答》（1563）与《多特信经》（1619）；惟本教会以《威斯敏斯特信仰告白》为</w:t>
      </w:r>
      <w:r>
        <w:rPr>
          <w:rFonts w:ascii="SimSun" w:eastAsia="SimSun" w:hAnsi="SimSun" w:hint="eastAsia"/>
          <w:lang w:val="en-GB"/>
        </w:rPr>
        <w:t>永约教会的</w:t>
      </w:r>
      <w:r w:rsidRPr="00F0686E">
        <w:rPr>
          <w:rFonts w:ascii="SimSun" w:eastAsia="SimSun" w:hAnsi="SimSun" w:hint="eastAsia"/>
          <w:lang w:val="en-GB"/>
        </w:rPr>
        <w:t>主要的信仰与教义标准。</w:t>
      </w:r>
    </w:p>
    <w:p w14:paraId="350E36D4" w14:textId="77777777" w:rsidR="00323EBC" w:rsidRDefault="00323EBC" w:rsidP="00E03E98">
      <w:pPr>
        <w:tabs>
          <w:tab w:val="left" w:pos="7829"/>
        </w:tabs>
        <w:spacing w:after="0" w:line="360" w:lineRule="auto"/>
        <w:rPr>
          <w:rFonts w:ascii="SimSun" w:eastAsia="SimSun" w:hAnsi="SimSun"/>
          <w:lang w:val="en-US"/>
        </w:rPr>
      </w:pPr>
    </w:p>
    <w:p w14:paraId="38AE5915" w14:textId="77777777" w:rsidR="00E03E98" w:rsidRPr="00323EBC" w:rsidRDefault="00E03E98">
      <w:pPr>
        <w:spacing w:after="0" w:line="360" w:lineRule="auto"/>
        <w:rPr>
          <w:lang w:val="en-US"/>
        </w:rPr>
      </w:pPr>
    </w:p>
    <w:sectPr w:rsidR="00E03E98" w:rsidRPr="00323EBC" w:rsidSect="00E03E9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D2C6" w14:textId="77777777" w:rsidR="00F43052" w:rsidRDefault="00F43052" w:rsidP="00323EBC">
      <w:pPr>
        <w:spacing w:after="0" w:line="240" w:lineRule="auto"/>
      </w:pPr>
      <w:r>
        <w:separator/>
      </w:r>
    </w:p>
  </w:endnote>
  <w:endnote w:type="continuationSeparator" w:id="0">
    <w:p w14:paraId="2F40300F" w14:textId="77777777" w:rsidR="00F43052" w:rsidRDefault="00F43052" w:rsidP="00323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D41E7" w14:textId="77777777" w:rsidR="00F43052" w:rsidRDefault="00F43052" w:rsidP="00323EBC">
      <w:pPr>
        <w:spacing w:after="0" w:line="240" w:lineRule="auto"/>
      </w:pPr>
      <w:r>
        <w:separator/>
      </w:r>
    </w:p>
  </w:footnote>
  <w:footnote w:type="continuationSeparator" w:id="0">
    <w:p w14:paraId="54B7DA84" w14:textId="77777777" w:rsidR="00F43052" w:rsidRDefault="00F43052" w:rsidP="00323EBC">
      <w:pPr>
        <w:spacing w:after="0" w:line="240" w:lineRule="auto"/>
      </w:pPr>
      <w:r>
        <w:continuationSeparator/>
      </w:r>
    </w:p>
  </w:footnote>
  <w:footnote w:id="1">
    <w:p w14:paraId="51E73989" w14:textId="77777777" w:rsidR="00661DF9" w:rsidRPr="007E2346" w:rsidRDefault="00661DF9" w:rsidP="00661DF9">
      <w:pPr>
        <w:pStyle w:val="FootnoteText"/>
      </w:pPr>
      <w:r>
        <w:rPr>
          <w:rStyle w:val="FootnoteReference"/>
        </w:rPr>
        <w:footnoteRef/>
      </w:r>
      <w:r>
        <w:t xml:space="preserve">  </w:t>
      </w:r>
      <w:r w:rsidRPr="008A5738">
        <w:t>The Church of Jesus Christ of Latter-day Saints believes that Jesus was created, and they have additional scriptures that they believe to have been divinely revealed to Joseph Smith. Mormons deny the historically Christian teaching that Jesus Christ is equal to the Father in essence and substance.</w:t>
      </w:r>
    </w:p>
  </w:footnote>
  <w:footnote w:id="2">
    <w:p w14:paraId="7D5A3489" w14:textId="77777777" w:rsidR="00323EBC" w:rsidRPr="00AC6E50" w:rsidRDefault="00323EBC" w:rsidP="00323EBC">
      <w:pPr>
        <w:pStyle w:val="FootnoteText"/>
        <w:rPr>
          <w:lang w:val="en-US"/>
        </w:rPr>
      </w:pPr>
      <w:r>
        <w:rPr>
          <w:rStyle w:val="FootnoteReference"/>
        </w:rPr>
        <w:footnoteRef/>
      </w:r>
      <w:r>
        <w:t xml:space="preserve"> </w:t>
      </w:r>
      <w:r w:rsidRPr="00AC6E50">
        <w:rPr>
          <w:rFonts w:hint="eastAsia"/>
        </w:rPr>
        <w:t>无误（</w:t>
      </w:r>
      <w:r w:rsidRPr="00AC6E50">
        <w:rPr>
          <w:rFonts w:hint="eastAsia"/>
        </w:rPr>
        <w:t>Inerrant</w:t>
      </w:r>
      <w:r w:rsidRPr="00AC6E50">
        <w:rPr>
          <w:rFonts w:hint="eastAsia"/>
        </w:rPr>
        <w:t>）：指圣经事实上没有错误。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07353"/>
    <w:multiLevelType w:val="hybridMultilevel"/>
    <w:tmpl w:val="1F684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80723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BC"/>
    <w:rsid w:val="00055BE3"/>
    <w:rsid w:val="000B66C7"/>
    <w:rsid w:val="001A09B5"/>
    <w:rsid w:val="001F596B"/>
    <w:rsid w:val="00203181"/>
    <w:rsid w:val="00323EBC"/>
    <w:rsid w:val="003C3D80"/>
    <w:rsid w:val="003C54C0"/>
    <w:rsid w:val="00576CD6"/>
    <w:rsid w:val="00661DF9"/>
    <w:rsid w:val="00670B35"/>
    <w:rsid w:val="006C6C8B"/>
    <w:rsid w:val="007D2EB2"/>
    <w:rsid w:val="007D4539"/>
    <w:rsid w:val="00845E0A"/>
    <w:rsid w:val="00883902"/>
    <w:rsid w:val="008E75A4"/>
    <w:rsid w:val="009879B1"/>
    <w:rsid w:val="00AC7FE3"/>
    <w:rsid w:val="00B229E4"/>
    <w:rsid w:val="00B64162"/>
    <w:rsid w:val="00BB0DAC"/>
    <w:rsid w:val="00C76669"/>
    <w:rsid w:val="00CA5A7E"/>
    <w:rsid w:val="00D92EE2"/>
    <w:rsid w:val="00DB5FF3"/>
    <w:rsid w:val="00E03E98"/>
    <w:rsid w:val="00E40F52"/>
    <w:rsid w:val="00F43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2352751"/>
  <w15:chartTrackingRefBased/>
  <w15:docId w15:val="{409E3DD1-DB4E-CA42-8EB4-11F2DC97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EBC"/>
    <w:rPr>
      <w:lang w:val="en-SG" w:bidi="he-IL"/>
    </w:rPr>
  </w:style>
  <w:style w:type="paragraph" w:styleId="Heading1">
    <w:name w:val="heading 1"/>
    <w:basedOn w:val="Normal"/>
    <w:next w:val="Normal"/>
    <w:link w:val="Heading1Char"/>
    <w:uiPriority w:val="9"/>
    <w:qFormat/>
    <w:rsid w:val="00323EBC"/>
    <w:pPr>
      <w:keepNext/>
      <w:keepLines/>
      <w:spacing w:before="360" w:after="80"/>
      <w:outlineLvl w:val="0"/>
    </w:pPr>
    <w:rPr>
      <w:rFonts w:asciiTheme="majorHAnsi" w:eastAsiaTheme="majorEastAsia" w:hAnsiTheme="majorHAnsi" w:cstheme="majorBidi"/>
      <w:color w:val="0F4761" w:themeColor="accent1" w:themeShade="BF"/>
      <w:sz w:val="40"/>
      <w:szCs w:val="40"/>
      <w:lang w:val="en-US" w:bidi="ar-SA"/>
    </w:rPr>
  </w:style>
  <w:style w:type="paragraph" w:styleId="Heading2">
    <w:name w:val="heading 2"/>
    <w:basedOn w:val="Normal"/>
    <w:next w:val="Normal"/>
    <w:link w:val="Heading2Char"/>
    <w:uiPriority w:val="9"/>
    <w:semiHidden/>
    <w:unhideWhenUsed/>
    <w:qFormat/>
    <w:rsid w:val="00323EBC"/>
    <w:pPr>
      <w:keepNext/>
      <w:keepLines/>
      <w:spacing w:before="160" w:after="80"/>
      <w:outlineLvl w:val="1"/>
    </w:pPr>
    <w:rPr>
      <w:rFonts w:asciiTheme="majorHAnsi" w:eastAsiaTheme="majorEastAsia" w:hAnsiTheme="majorHAnsi" w:cstheme="majorBidi"/>
      <w:color w:val="0F4761" w:themeColor="accent1" w:themeShade="BF"/>
      <w:sz w:val="32"/>
      <w:szCs w:val="32"/>
      <w:lang w:val="en-US" w:bidi="ar-SA"/>
    </w:rPr>
  </w:style>
  <w:style w:type="paragraph" w:styleId="Heading3">
    <w:name w:val="heading 3"/>
    <w:basedOn w:val="Normal"/>
    <w:next w:val="Normal"/>
    <w:link w:val="Heading3Char"/>
    <w:uiPriority w:val="9"/>
    <w:semiHidden/>
    <w:unhideWhenUsed/>
    <w:qFormat/>
    <w:rsid w:val="00323EBC"/>
    <w:pPr>
      <w:keepNext/>
      <w:keepLines/>
      <w:spacing w:before="160" w:after="80"/>
      <w:outlineLvl w:val="2"/>
    </w:pPr>
    <w:rPr>
      <w:rFonts w:eastAsiaTheme="majorEastAsia" w:cstheme="majorBidi"/>
      <w:color w:val="0F4761" w:themeColor="accent1" w:themeShade="BF"/>
      <w:sz w:val="28"/>
      <w:szCs w:val="28"/>
      <w:lang w:val="en-US" w:bidi="ar-SA"/>
    </w:rPr>
  </w:style>
  <w:style w:type="paragraph" w:styleId="Heading4">
    <w:name w:val="heading 4"/>
    <w:basedOn w:val="Normal"/>
    <w:next w:val="Normal"/>
    <w:link w:val="Heading4Char"/>
    <w:uiPriority w:val="9"/>
    <w:semiHidden/>
    <w:unhideWhenUsed/>
    <w:qFormat/>
    <w:rsid w:val="00323EBC"/>
    <w:pPr>
      <w:keepNext/>
      <w:keepLines/>
      <w:spacing w:before="80" w:after="40"/>
      <w:outlineLvl w:val="3"/>
    </w:pPr>
    <w:rPr>
      <w:rFonts w:eastAsiaTheme="majorEastAsia" w:cstheme="majorBidi"/>
      <w:i/>
      <w:iCs/>
      <w:color w:val="0F4761" w:themeColor="accent1" w:themeShade="BF"/>
      <w:lang w:val="en-US" w:bidi="ar-SA"/>
    </w:rPr>
  </w:style>
  <w:style w:type="paragraph" w:styleId="Heading5">
    <w:name w:val="heading 5"/>
    <w:basedOn w:val="Normal"/>
    <w:next w:val="Normal"/>
    <w:link w:val="Heading5Char"/>
    <w:uiPriority w:val="9"/>
    <w:semiHidden/>
    <w:unhideWhenUsed/>
    <w:qFormat/>
    <w:rsid w:val="00323EBC"/>
    <w:pPr>
      <w:keepNext/>
      <w:keepLines/>
      <w:spacing w:before="80" w:after="40"/>
      <w:outlineLvl w:val="4"/>
    </w:pPr>
    <w:rPr>
      <w:rFonts w:eastAsiaTheme="majorEastAsia" w:cstheme="majorBidi"/>
      <w:color w:val="0F4761" w:themeColor="accent1" w:themeShade="BF"/>
      <w:lang w:val="en-US" w:bidi="ar-SA"/>
    </w:rPr>
  </w:style>
  <w:style w:type="paragraph" w:styleId="Heading6">
    <w:name w:val="heading 6"/>
    <w:basedOn w:val="Normal"/>
    <w:next w:val="Normal"/>
    <w:link w:val="Heading6Char"/>
    <w:uiPriority w:val="9"/>
    <w:semiHidden/>
    <w:unhideWhenUsed/>
    <w:qFormat/>
    <w:rsid w:val="00323EBC"/>
    <w:pPr>
      <w:keepNext/>
      <w:keepLines/>
      <w:spacing w:before="40" w:after="0"/>
      <w:outlineLvl w:val="5"/>
    </w:pPr>
    <w:rPr>
      <w:rFonts w:eastAsiaTheme="majorEastAsia" w:cstheme="majorBidi"/>
      <w:i/>
      <w:iCs/>
      <w:color w:val="595959" w:themeColor="text1" w:themeTint="A6"/>
      <w:lang w:val="en-US" w:bidi="ar-SA"/>
    </w:rPr>
  </w:style>
  <w:style w:type="paragraph" w:styleId="Heading7">
    <w:name w:val="heading 7"/>
    <w:basedOn w:val="Normal"/>
    <w:next w:val="Normal"/>
    <w:link w:val="Heading7Char"/>
    <w:uiPriority w:val="9"/>
    <w:semiHidden/>
    <w:unhideWhenUsed/>
    <w:qFormat/>
    <w:rsid w:val="00323EBC"/>
    <w:pPr>
      <w:keepNext/>
      <w:keepLines/>
      <w:spacing w:before="40" w:after="0"/>
      <w:outlineLvl w:val="6"/>
    </w:pPr>
    <w:rPr>
      <w:rFonts w:eastAsiaTheme="majorEastAsia" w:cstheme="majorBidi"/>
      <w:color w:val="595959" w:themeColor="text1" w:themeTint="A6"/>
      <w:lang w:val="en-US" w:bidi="ar-SA"/>
    </w:rPr>
  </w:style>
  <w:style w:type="paragraph" w:styleId="Heading8">
    <w:name w:val="heading 8"/>
    <w:basedOn w:val="Normal"/>
    <w:next w:val="Normal"/>
    <w:link w:val="Heading8Char"/>
    <w:uiPriority w:val="9"/>
    <w:semiHidden/>
    <w:unhideWhenUsed/>
    <w:qFormat/>
    <w:rsid w:val="00323EBC"/>
    <w:pPr>
      <w:keepNext/>
      <w:keepLines/>
      <w:spacing w:after="0"/>
      <w:outlineLvl w:val="7"/>
    </w:pPr>
    <w:rPr>
      <w:rFonts w:eastAsiaTheme="majorEastAsia" w:cstheme="majorBidi"/>
      <w:i/>
      <w:iCs/>
      <w:color w:val="272727" w:themeColor="text1" w:themeTint="D8"/>
      <w:lang w:val="en-US" w:bidi="ar-SA"/>
    </w:rPr>
  </w:style>
  <w:style w:type="paragraph" w:styleId="Heading9">
    <w:name w:val="heading 9"/>
    <w:basedOn w:val="Normal"/>
    <w:next w:val="Normal"/>
    <w:link w:val="Heading9Char"/>
    <w:uiPriority w:val="9"/>
    <w:semiHidden/>
    <w:unhideWhenUsed/>
    <w:qFormat/>
    <w:rsid w:val="00323EBC"/>
    <w:pPr>
      <w:keepNext/>
      <w:keepLines/>
      <w:spacing w:after="0"/>
      <w:outlineLvl w:val="8"/>
    </w:pPr>
    <w:rPr>
      <w:rFonts w:eastAsiaTheme="majorEastAsia" w:cstheme="majorBidi"/>
      <w:color w:val="272727" w:themeColor="text1" w:themeTint="D8"/>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EBC"/>
    <w:rPr>
      <w:rFonts w:eastAsiaTheme="majorEastAsia" w:cstheme="majorBidi"/>
      <w:color w:val="272727" w:themeColor="text1" w:themeTint="D8"/>
    </w:rPr>
  </w:style>
  <w:style w:type="paragraph" w:styleId="Title">
    <w:name w:val="Title"/>
    <w:basedOn w:val="Normal"/>
    <w:next w:val="Normal"/>
    <w:link w:val="TitleChar"/>
    <w:uiPriority w:val="10"/>
    <w:qFormat/>
    <w:rsid w:val="00323EBC"/>
    <w:pPr>
      <w:spacing w:after="80" w:line="240" w:lineRule="auto"/>
      <w:contextualSpacing/>
    </w:pPr>
    <w:rPr>
      <w:rFonts w:asciiTheme="majorHAnsi" w:eastAsiaTheme="majorEastAsia" w:hAnsiTheme="majorHAnsi" w:cstheme="majorBidi"/>
      <w:spacing w:val="-10"/>
      <w:kern w:val="28"/>
      <w:sz w:val="56"/>
      <w:szCs w:val="56"/>
      <w:lang w:val="en-US" w:bidi="ar-SA"/>
    </w:rPr>
  </w:style>
  <w:style w:type="character" w:customStyle="1" w:styleId="TitleChar">
    <w:name w:val="Title Char"/>
    <w:basedOn w:val="DefaultParagraphFont"/>
    <w:link w:val="Title"/>
    <w:uiPriority w:val="10"/>
    <w:rsid w:val="00323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EBC"/>
    <w:pPr>
      <w:numPr>
        <w:ilvl w:val="1"/>
      </w:numPr>
    </w:pPr>
    <w:rPr>
      <w:rFonts w:eastAsiaTheme="majorEastAsia" w:cstheme="majorBidi"/>
      <w:color w:val="595959" w:themeColor="text1" w:themeTint="A6"/>
      <w:spacing w:val="15"/>
      <w:sz w:val="28"/>
      <w:szCs w:val="28"/>
      <w:lang w:val="en-US" w:bidi="ar-SA"/>
    </w:rPr>
  </w:style>
  <w:style w:type="character" w:customStyle="1" w:styleId="SubtitleChar">
    <w:name w:val="Subtitle Char"/>
    <w:basedOn w:val="DefaultParagraphFont"/>
    <w:link w:val="Subtitle"/>
    <w:uiPriority w:val="11"/>
    <w:rsid w:val="00323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EBC"/>
    <w:pPr>
      <w:spacing w:before="160"/>
      <w:jc w:val="center"/>
    </w:pPr>
    <w:rPr>
      <w:i/>
      <w:iCs/>
      <w:color w:val="404040" w:themeColor="text1" w:themeTint="BF"/>
      <w:lang w:val="en-US" w:bidi="ar-SA"/>
    </w:rPr>
  </w:style>
  <w:style w:type="character" w:customStyle="1" w:styleId="QuoteChar">
    <w:name w:val="Quote Char"/>
    <w:basedOn w:val="DefaultParagraphFont"/>
    <w:link w:val="Quote"/>
    <w:uiPriority w:val="29"/>
    <w:rsid w:val="00323EBC"/>
    <w:rPr>
      <w:i/>
      <w:iCs/>
      <w:color w:val="404040" w:themeColor="text1" w:themeTint="BF"/>
    </w:rPr>
  </w:style>
  <w:style w:type="paragraph" w:styleId="ListParagraph">
    <w:name w:val="List Paragraph"/>
    <w:basedOn w:val="Normal"/>
    <w:uiPriority w:val="34"/>
    <w:qFormat/>
    <w:rsid w:val="00323EBC"/>
    <w:pPr>
      <w:ind w:left="720"/>
      <w:contextualSpacing/>
    </w:pPr>
    <w:rPr>
      <w:lang w:val="en-US" w:bidi="ar-SA"/>
    </w:rPr>
  </w:style>
  <w:style w:type="character" w:styleId="IntenseEmphasis">
    <w:name w:val="Intense Emphasis"/>
    <w:basedOn w:val="DefaultParagraphFont"/>
    <w:uiPriority w:val="21"/>
    <w:qFormat/>
    <w:rsid w:val="00323EBC"/>
    <w:rPr>
      <w:i/>
      <w:iCs/>
      <w:color w:val="0F4761" w:themeColor="accent1" w:themeShade="BF"/>
    </w:rPr>
  </w:style>
  <w:style w:type="paragraph" w:styleId="IntenseQuote">
    <w:name w:val="Intense Quote"/>
    <w:basedOn w:val="Normal"/>
    <w:next w:val="Normal"/>
    <w:link w:val="IntenseQuoteChar"/>
    <w:uiPriority w:val="30"/>
    <w:qFormat/>
    <w:rsid w:val="00323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bidi="ar-SA"/>
    </w:rPr>
  </w:style>
  <w:style w:type="character" w:customStyle="1" w:styleId="IntenseQuoteChar">
    <w:name w:val="Intense Quote Char"/>
    <w:basedOn w:val="DefaultParagraphFont"/>
    <w:link w:val="IntenseQuote"/>
    <w:uiPriority w:val="30"/>
    <w:rsid w:val="00323EBC"/>
    <w:rPr>
      <w:i/>
      <w:iCs/>
      <w:color w:val="0F4761" w:themeColor="accent1" w:themeShade="BF"/>
    </w:rPr>
  </w:style>
  <w:style w:type="character" w:styleId="IntenseReference">
    <w:name w:val="Intense Reference"/>
    <w:basedOn w:val="DefaultParagraphFont"/>
    <w:uiPriority w:val="32"/>
    <w:qFormat/>
    <w:rsid w:val="00323EBC"/>
    <w:rPr>
      <w:b/>
      <w:bCs/>
      <w:smallCaps/>
      <w:color w:val="0F4761" w:themeColor="accent1" w:themeShade="BF"/>
      <w:spacing w:val="5"/>
    </w:rPr>
  </w:style>
  <w:style w:type="paragraph" w:styleId="FootnoteText">
    <w:name w:val="footnote text"/>
    <w:basedOn w:val="Normal"/>
    <w:link w:val="FootnoteTextChar"/>
    <w:uiPriority w:val="99"/>
    <w:unhideWhenUsed/>
    <w:rsid w:val="00323EBC"/>
    <w:pPr>
      <w:spacing w:after="0" w:line="240" w:lineRule="auto"/>
    </w:pPr>
    <w:rPr>
      <w:sz w:val="20"/>
      <w:szCs w:val="20"/>
    </w:rPr>
  </w:style>
  <w:style w:type="character" w:customStyle="1" w:styleId="FootnoteTextChar">
    <w:name w:val="Footnote Text Char"/>
    <w:basedOn w:val="DefaultParagraphFont"/>
    <w:link w:val="FootnoteText"/>
    <w:uiPriority w:val="99"/>
    <w:rsid w:val="00323EBC"/>
    <w:rPr>
      <w:sz w:val="20"/>
      <w:szCs w:val="20"/>
      <w:lang w:val="en-SG" w:bidi="he-IL"/>
    </w:rPr>
  </w:style>
  <w:style w:type="character" w:styleId="FootnoteReference">
    <w:name w:val="footnote reference"/>
    <w:basedOn w:val="DefaultParagraphFont"/>
    <w:uiPriority w:val="99"/>
    <w:semiHidden/>
    <w:unhideWhenUsed/>
    <w:rsid w:val="00323EBC"/>
    <w:rPr>
      <w:vertAlign w:val="superscript"/>
    </w:rPr>
  </w:style>
  <w:style w:type="character" w:styleId="Strong">
    <w:name w:val="Strong"/>
    <w:basedOn w:val="DefaultParagraphFont"/>
    <w:uiPriority w:val="22"/>
    <w:qFormat/>
    <w:rsid w:val="00661D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8</cp:revision>
  <dcterms:created xsi:type="dcterms:W3CDTF">2025-11-05T09:43:00Z</dcterms:created>
  <dcterms:modified xsi:type="dcterms:W3CDTF">2025-11-11T05:57:00Z</dcterms:modified>
</cp:coreProperties>
</file>